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新宋体" w:eastAsia="方正小标宋简体"/>
          <w:b/>
          <w:sz w:val="44"/>
          <w:szCs w:val="44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64135</wp:posOffset>
                </wp:positionV>
                <wp:extent cx="5579110" cy="629285"/>
                <wp:effectExtent l="0" t="0" r="0" b="0"/>
                <wp:wrapNone/>
                <wp:docPr id="1" name="head 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00" w:lineRule="exact"/>
                              <w:jc w:val="distribute"/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color w:val="FF0000"/>
                                <w:spacing w:val="20"/>
                                <w:w w:val="69"/>
                                <w:sz w:val="72"/>
                                <w:szCs w:val="72"/>
                              </w:rPr>
                              <w:t>佛山市三水区博物馆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head textbox1" o:spid="_x0000_s1026" o:spt="202" type="#_x0000_t202" style="position:absolute;left:0pt;margin-top:5.05pt;height:49.55pt;width:439.3pt;mso-position-horizontal:center;z-index:251658240;mso-width-relative:page;mso-height-relative:page;" filled="f" stroked="f" coordsize="21600,21600" o:gfxdata="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vk+qy1QAAAAcBAAAPAAAAAAAAAAEAIAAAACIA&#10;AABkcnMvZG93bnJldi54bWxQSwECFAAUAAAACACHTuJA5RAXGZoBAAAv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800" w:lineRule="exact"/>
                        <w:jc w:val="distribute"/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color w:val="FF0000"/>
                          <w:spacing w:val="20"/>
                          <w:w w:val="69"/>
                          <w:sz w:val="72"/>
                          <w:szCs w:val="72"/>
                        </w:rPr>
                        <w:t>佛山市三水区博物馆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36"/>
          <w:szCs w:val="36"/>
        </w:rPr>
      </w:pP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289560</wp:posOffset>
                </wp:positionV>
                <wp:extent cx="5939790" cy="11430"/>
                <wp:effectExtent l="0" t="2540" r="3810" b="24130"/>
                <wp:wrapNone/>
                <wp:docPr id="2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3835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top:22.8pt;height:0.9pt;width:467.7pt;mso-position-horizontal:center;z-index:251659264;mso-width-relative:page;mso-height-relative:page;" filled="f" stroked="t" coordsize="21600,21600" o:gfxdata="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MRE91wAAAAYBAAAPAAAAAAAAAAEAIAAAACIA&#10;AABkcnMvZG93bnJldi54bWxQSwECFAAUAAAACACHTuJAvYowqNEBAACeAwAADgAAAAAAAAABACAA&#10;AAAmAQAAZHJzL2Uyb0RvYy54bWxQSwUGAAAAAAYABgBZAQAAaQUAAAAA&#10;">
                <v:fill on="f" focussize="0,0"/>
                <v:stroke weight="3.0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238760</wp:posOffset>
                </wp:positionV>
                <wp:extent cx="5939790" cy="11430"/>
                <wp:effectExtent l="0" t="0" r="0" b="0"/>
                <wp:wrapNone/>
                <wp:docPr id="3" name="head l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14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head line1" o:spid="_x0000_s1026" o:spt="20" style="position:absolute;left:0pt;flip:y;margin-top:18.8pt;height:0.9pt;width:467.7pt;mso-position-horizontal:center;z-index:251660288;mso-width-relative:page;mso-height-relative:page;" filled="f" stroked="t" coordsize="21600,21600" o:gfxdata="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F+BjNcAAAAGAQAADwAAAAAAAAABACAAAAAiAAAA&#10;ZHJzL2Rvd25yZXYueG1sUEsBAhQAFAAAAAgAh07iQO8TI3bPAQAAngMAAA4AAAAAAAAAAQAgAAAA&#10;Jg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44"/>
          <w:szCs w:val="44"/>
        </w:rPr>
        <w:t>藏品代管、鉴定、养护、修复及咨询</w:t>
      </w:r>
      <w:r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44"/>
          <w:szCs w:val="44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49494B"/>
          <w:sz w:val="44"/>
          <w:szCs w:val="44"/>
        </w:rPr>
      </w:pPr>
    </w:p>
    <w:p>
      <w:p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藏品是国家宝贵的科学、文化财富，是博物馆业务活动的物质基础。为了准确鉴别藏品的历史、艺术和科学价值，加强藏品的保护管理，充分发挥藏品作用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三水博物馆将为市民提供藏品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代管、鉴定、养护、修复及咨询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等服务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。根据国家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法律法规及文物管理办法相关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制定以下制度。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藏品代管服务</w:t>
      </w:r>
    </w:p>
    <w:p>
      <w:p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博物馆根据展示需要，征得收藏者同意，可签署代管协议，协议规定双方的权利和义务。收藏者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必须保证代管藏品来源的合法性。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在协议规定的时间内博物馆享有藏品的展示及研究权利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博物馆代管后,博物馆有责任做好文物的安全及日常养护工作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如在展示过程中对藏品造成损坏，由博物馆承担责任。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藏品鉴定服务</w:t>
      </w:r>
    </w:p>
    <w:p>
      <w:p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收藏者如需对收藏品进行鉴定，可向博物馆提出要求，博物馆工作人员收到申请后根据文物类别安排合适的专家代为鉴定，超出能力范围的将推荐到广东省文物鉴定站进行鉴定。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藏品养护制度</w:t>
      </w:r>
    </w:p>
    <w:p>
      <w:p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博物馆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对代管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藏品定期检查、养护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博物馆藏品种类较多，按质地来区分，主要可分为陶瓷类、玉石类、金属类、竹木牙雕器、书画类、丝质绢本几类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其中陶瓷类、玉石类的保存相对较易，每年进行一次检查，发现问题及时处理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竹木牙雕器、书画类、丝质绢本对保存环境要求较高，保存不善极易出现问题，因此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定期养护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对于书画类、丝质绢本类藏品至少每个季度进行一次抽检，发现问题及时处理，每半年进行一次养护。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藏品修复制度</w:t>
      </w:r>
    </w:p>
    <w:p>
      <w:pPr>
        <w:autoSpaceDN w:val="0"/>
        <w:spacing w:line="500" w:lineRule="exact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 xml:space="preserve">    博物馆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代管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藏品的修复须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与收藏者协商，同时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经馆领导同意后，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委托具有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对应修复资质的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49494B"/>
          <w:sz w:val="32"/>
          <w:szCs w:val="32"/>
        </w:rPr>
        <w:t>修复。</w:t>
      </w:r>
    </w:p>
    <w:p>
      <w:pPr>
        <w:autoSpaceDN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五、免费咨询服务</w:t>
      </w:r>
    </w:p>
    <w:p>
      <w:pPr>
        <w:autoSpaceDN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博物馆为社会组织或个人提供免费资料查询和藏品咨询服务。群众可通过现场、电话、电子邮件等方式提出咨询需求，我馆根据咨询内容，组织专业技术人员进行及时回复。</w:t>
      </w:r>
    </w:p>
    <w:p>
      <w:pPr>
        <w:autoSpaceDN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六、其他事项</w:t>
      </w:r>
    </w:p>
    <w:p>
      <w:pPr>
        <w:autoSpaceDN w:val="0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本制度自公布之日起实施，解释权归三水区博物馆。</w:t>
      </w:r>
    </w:p>
    <w:p>
      <w:pPr>
        <w:autoSpaceDN w:val="0"/>
        <w:spacing w:line="500" w:lineRule="exact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</w:rPr>
      </w:pPr>
    </w:p>
    <w:p>
      <w:pPr>
        <w:autoSpaceDN w:val="0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</w:p>
    <w:p>
      <w:pPr>
        <w:autoSpaceDN w:val="0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</w:p>
    <w:p>
      <w:pPr>
        <w:autoSpaceDN w:val="0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佛山市三水区博物馆</w:t>
      </w:r>
    </w:p>
    <w:p>
      <w:pPr>
        <w:autoSpaceDN w:val="0"/>
        <w:spacing w:line="50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94B"/>
          <w:sz w:val="32"/>
          <w:szCs w:val="32"/>
          <w:lang w:val="en-US" w:eastAsia="zh-CN"/>
        </w:rPr>
        <w:t>2016年12月31日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7D71"/>
    <w:rsid w:val="1B165127"/>
    <w:rsid w:val="578D7D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区委宣传部（区文体旅游局）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2020-09-07T09:09:00Z</dcterms:created>
  <dc:creator>Lenovo</dc:creator>
  <cp:lastModifiedBy>Lenovo</cp:lastModifiedBy>
  <dcterms:modified xsi:type="dcterms:W3CDTF">2020-09-07T09:27:39Z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